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6F727" w14:textId="77777777" w:rsidR="00E86A2A" w:rsidRPr="006C7027" w:rsidRDefault="00E86A2A" w:rsidP="00E86A2A">
      <w:pPr>
        <w:jc w:val="both"/>
        <w:rPr>
          <w:sz w:val="32"/>
          <w:szCs w:val="32"/>
        </w:rPr>
      </w:pPr>
      <w:bookmarkStart w:id="0" w:name="_Hlk200531974"/>
      <w:r w:rsidRPr="006C7027">
        <w:rPr>
          <w:b/>
          <w:bCs/>
          <w:sz w:val="32"/>
          <w:szCs w:val="32"/>
        </w:rPr>
        <w:t xml:space="preserve">Особливості розгляду звернень </w:t>
      </w:r>
    </w:p>
    <w:p w14:paraId="20144692" w14:textId="77777777" w:rsidR="00E86A2A" w:rsidRDefault="00E86A2A" w:rsidP="00E86A2A">
      <w:pPr>
        <w:jc w:val="both"/>
        <w:rPr>
          <w:b/>
          <w:bCs/>
          <w:sz w:val="32"/>
          <w:szCs w:val="32"/>
        </w:rPr>
      </w:pPr>
      <w:r w:rsidRPr="006C7027">
        <w:rPr>
          <w:b/>
          <w:bCs/>
          <w:sz w:val="32"/>
          <w:szCs w:val="32"/>
        </w:rPr>
        <w:t>з питань досудового розслідування</w:t>
      </w:r>
    </w:p>
    <w:p w14:paraId="44E419BE" w14:textId="77777777" w:rsidR="00E86A2A" w:rsidRPr="006C7027" w:rsidRDefault="00E86A2A" w:rsidP="00E86A2A">
      <w:pPr>
        <w:jc w:val="both"/>
        <w:rPr>
          <w:sz w:val="32"/>
          <w:szCs w:val="32"/>
        </w:rPr>
      </w:pPr>
    </w:p>
    <w:p w14:paraId="7DBC6B88" w14:textId="77777777" w:rsidR="00E86A2A" w:rsidRDefault="00E86A2A" w:rsidP="00E86A2A">
      <w:pPr>
        <w:jc w:val="both"/>
        <w:rPr>
          <w:sz w:val="32"/>
          <w:szCs w:val="32"/>
        </w:rPr>
      </w:pPr>
      <w:r w:rsidRPr="006C7027">
        <w:rPr>
          <w:sz w:val="32"/>
          <w:szCs w:val="32"/>
        </w:rPr>
        <w:t xml:space="preserve">Порядок кримінального провадження на території України визначається лише кримінальним процесуальним законодавством України (частина 1 статті 1 Кримінального процесуального кодексу </w:t>
      </w:r>
    </w:p>
    <w:p w14:paraId="4076349F" w14:textId="77777777" w:rsidR="00E86A2A" w:rsidRPr="006C7027" w:rsidRDefault="00E86A2A" w:rsidP="00E86A2A">
      <w:pPr>
        <w:spacing w:after="120"/>
        <w:jc w:val="both"/>
        <w:rPr>
          <w:sz w:val="32"/>
          <w:szCs w:val="32"/>
        </w:rPr>
      </w:pPr>
      <w:r w:rsidRPr="006C7027">
        <w:rPr>
          <w:sz w:val="32"/>
          <w:szCs w:val="32"/>
        </w:rPr>
        <w:t>України, далі – КПК України).</w:t>
      </w:r>
    </w:p>
    <w:p w14:paraId="11CD871D" w14:textId="77777777" w:rsidR="00E86A2A" w:rsidRDefault="00E86A2A" w:rsidP="00E86A2A">
      <w:pPr>
        <w:spacing w:after="120"/>
        <w:jc w:val="both"/>
        <w:rPr>
          <w:sz w:val="32"/>
          <w:szCs w:val="32"/>
        </w:rPr>
      </w:pPr>
      <w:r w:rsidRPr="006C7027">
        <w:rPr>
          <w:sz w:val="32"/>
          <w:szCs w:val="32"/>
        </w:rPr>
        <w:t xml:space="preserve">Заяви, скарги, клопотання, які надходять до органів прокуратури з питань досудового розслідування від учасників кримінального провадження розглядаються в порядку та строки, передбачені кримінальним процесуальним законодавством. </w:t>
      </w:r>
    </w:p>
    <w:p w14:paraId="14C524BA" w14:textId="77777777" w:rsidR="00E86A2A" w:rsidRPr="006C7027" w:rsidRDefault="00E86A2A" w:rsidP="00E86A2A">
      <w:pPr>
        <w:spacing w:after="120"/>
        <w:jc w:val="both"/>
        <w:rPr>
          <w:sz w:val="32"/>
          <w:szCs w:val="32"/>
        </w:rPr>
      </w:pPr>
      <w:r w:rsidRPr="006C7027">
        <w:rPr>
          <w:sz w:val="32"/>
          <w:szCs w:val="32"/>
        </w:rPr>
        <w:t>Звернення осіб з питань досудового розслідування, які не є учасниками кримінального провадження, вирішуються в порядку та строки, передбачені законодавством про звернення громадян.</w:t>
      </w:r>
    </w:p>
    <w:p w14:paraId="6A1EA818" w14:textId="77777777" w:rsidR="00E86A2A" w:rsidRPr="006C7027" w:rsidRDefault="00E86A2A" w:rsidP="00E86A2A">
      <w:pPr>
        <w:spacing w:after="120"/>
        <w:jc w:val="both"/>
        <w:rPr>
          <w:sz w:val="32"/>
          <w:szCs w:val="32"/>
        </w:rPr>
      </w:pPr>
      <w:r w:rsidRPr="006C7027">
        <w:rPr>
          <w:sz w:val="32"/>
          <w:szCs w:val="32"/>
        </w:rPr>
        <w:t>Заяви і повідомлення про вчинення кримінального правопорушення вирішуються органами прокуратури відповідно до вимог статті 214 КПК України та нормативних актів Генерального прокурора. При поданні заяви, повідомлення про вчинення кримінального правопорушення, слід враховувати, що до Єдиного реєстру досудових розслідувань вносяться відомості, зокрема</w:t>
      </w:r>
      <w:bookmarkStart w:id="1" w:name="n2042"/>
      <w:bookmarkEnd w:id="1"/>
      <w:r w:rsidRPr="006C7027">
        <w:rPr>
          <w:sz w:val="32"/>
          <w:szCs w:val="32"/>
        </w:rPr>
        <w:t>, про дату надходження заяви, повідомлення про кримінальне правопорушення;</w:t>
      </w:r>
      <w:bookmarkStart w:id="2" w:name="n2043"/>
      <w:bookmarkEnd w:id="2"/>
      <w:r w:rsidRPr="006C7027">
        <w:rPr>
          <w:sz w:val="32"/>
          <w:szCs w:val="32"/>
        </w:rPr>
        <w:t> прізвище, ім’я, по батькові (найменування) потерпілого або заявника;</w:t>
      </w:r>
      <w:bookmarkStart w:id="3" w:name="n2044"/>
      <w:bookmarkEnd w:id="3"/>
      <w:r w:rsidRPr="006C7027">
        <w:rPr>
          <w:sz w:val="32"/>
          <w:szCs w:val="32"/>
        </w:rPr>
        <w:t> </w:t>
      </w:r>
      <w:bookmarkStart w:id="4" w:name="n2045"/>
      <w:bookmarkEnd w:id="4"/>
      <w:r w:rsidRPr="006C7027">
        <w:rPr>
          <w:sz w:val="32"/>
          <w:szCs w:val="32"/>
        </w:rPr>
        <w:t>короткий виклад обставин, що можуть свідчити про вчинення кримінального правопорушення, наведених заявником, потерпілим</w:t>
      </w:r>
      <w:bookmarkStart w:id="5" w:name="n2046"/>
      <w:bookmarkEnd w:id="5"/>
      <w:r w:rsidRPr="006C7027">
        <w:rPr>
          <w:sz w:val="32"/>
          <w:szCs w:val="32"/>
        </w:rPr>
        <w:t>; попередня правова кваліфікація кримінального правопорушення з зазначенням статті (частини статті) закону України про кримінальну відповідальність</w:t>
      </w:r>
      <w:bookmarkStart w:id="6" w:name="n2047"/>
      <w:bookmarkEnd w:id="6"/>
      <w:r w:rsidRPr="006C7027">
        <w:rPr>
          <w:sz w:val="32"/>
          <w:szCs w:val="32"/>
        </w:rPr>
        <w:t>.</w:t>
      </w:r>
    </w:p>
    <w:p w14:paraId="35238739" w14:textId="77777777" w:rsidR="00E86A2A" w:rsidRPr="006B2C15" w:rsidRDefault="00E86A2A" w:rsidP="00E86A2A">
      <w:pPr>
        <w:spacing w:after="120"/>
        <w:jc w:val="both"/>
        <w:rPr>
          <w:i/>
          <w:iCs/>
          <w:sz w:val="32"/>
          <w:szCs w:val="32"/>
        </w:rPr>
      </w:pPr>
      <w:r w:rsidRPr="006C7027">
        <w:rPr>
          <w:sz w:val="32"/>
          <w:szCs w:val="32"/>
        </w:rPr>
        <w:t xml:space="preserve">Статтею 220 КПК України врегульовано розгляд клопотань </w:t>
      </w:r>
      <w:r>
        <w:rPr>
          <w:sz w:val="32"/>
          <w:szCs w:val="32"/>
        </w:rPr>
        <w:t xml:space="preserve">учасників кримінального провадження </w:t>
      </w:r>
      <w:r w:rsidRPr="006C7027">
        <w:rPr>
          <w:sz w:val="32"/>
          <w:szCs w:val="32"/>
        </w:rPr>
        <w:t>під час досудового розслідування</w:t>
      </w:r>
      <w:r>
        <w:rPr>
          <w:sz w:val="32"/>
          <w:szCs w:val="32"/>
        </w:rPr>
        <w:t xml:space="preserve">. </w:t>
      </w:r>
    </w:p>
    <w:p w14:paraId="2F075BC4" w14:textId="77777777" w:rsidR="00E86A2A" w:rsidRPr="006C7027" w:rsidRDefault="00E86A2A" w:rsidP="00E86A2A">
      <w:pPr>
        <w:spacing w:after="120"/>
        <w:jc w:val="both"/>
        <w:rPr>
          <w:sz w:val="32"/>
          <w:szCs w:val="32"/>
        </w:rPr>
      </w:pPr>
      <w:r w:rsidRPr="006C7027">
        <w:rPr>
          <w:sz w:val="32"/>
          <w:szCs w:val="32"/>
        </w:rPr>
        <w:t xml:space="preserve">Подати клопотання до слідчого, </w:t>
      </w:r>
      <w:proofErr w:type="spellStart"/>
      <w:r w:rsidRPr="006C7027">
        <w:rPr>
          <w:sz w:val="32"/>
          <w:szCs w:val="32"/>
        </w:rPr>
        <w:t>дізнавача</w:t>
      </w:r>
      <w:proofErr w:type="spellEnd"/>
      <w:r w:rsidRPr="006C7027">
        <w:rPr>
          <w:sz w:val="32"/>
          <w:szCs w:val="32"/>
        </w:rPr>
        <w:t xml:space="preserve"> та прокурора можуть сторони захисту, потерпілий і його представник чи законний представник, представник юридичної особи, щодо якої здійснюється провадження, про виконання будь-яких процесуальних дій та у випадках, установлених цим Кодексом, інші особи, права чи законні інтереси яких обмежуються під час досудового розслідування, або їх представники.</w:t>
      </w:r>
      <w:bookmarkStart w:id="7" w:name="n2048"/>
      <w:bookmarkEnd w:id="7"/>
    </w:p>
    <w:p w14:paraId="485841AC" w14:textId="77777777" w:rsidR="00E86A2A" w:rsidRPr="006C7027" w:rsidRDefault="00E86A2A" w:rsidP="00E86A2A">
      <w:pPr>
        <w:spacing w:after="120"/>
        <w:jc w:val="both"/>
        <w:rPr>
          <w:sz w:val="32"/>
          <w:szCs w:val="32"/>
        </w:rPr>
      </w:pPr>
      <w:r w:rsidRPr="006C7027">
        <w:rPr>
          <w:sz w:val="32"/>
          <w:szCs w:val="32"/>
        </w:rPr>
        <w:lastRenderedPageBreak/>
        <w:t>Процесуальному керівнику у кримінальному провадженні заявником та потерпілим може бути оскаржено постанову слідчого про закриття кримінального провадження упродовж десяти днів з моменту отримання її копії (частина 6 статті 284 КПК України).</w:t>
      </w:r>
    </w:p>
    <w:p w14:paraId="7CDC4AA8" w14:textId="77777777" w:rsidR="00E86A2A" w:rsidRPr="006C7027" w:rsidRDefault="00E86A2A" w:rsidP="00E86A2A">
      <w:pPr>
        <w:spacing w:after="120"/>
        <w:jc w:val="both"/>
        <w:rPr>
          <w:sz w:val="32"/>
          <w:szCs w:val="32"/>
        </w:rPr>
      </w:pPr>
      <w:r>
        <w:rPr>
          <w:sz w:val="32"/>
          <w:szCs w:val="32"/>
        </w:rPr>
        <w:t>В</w:t>
      </w:r>
      <w:r w:rsidRPr="006C7027">
        <w:rPr>
          <w:sz w:val="32"/>
          <w:szCs w:val="32"/>
        </w:rPr>
        <w:t>ідповідно до</w:t>
      </w:r>
      <w:r>
        <w:rPr>
          <w:sz w:val="32"/>
          <w:szCs w:val="32"/>
        </w:rPr>
        <w:t xml:space="preserve"> </w:t>
      </w:r>
      <w:r w:rsidRPr="006C7027">
        <w:rPr>
          <w:sz w:val="32"/>
          <w:szCs w:val="32"/>
        </w:rPr>
        <w:t xml:space="preserve">статті 308 КПК України підозрюваний, обвинувачений, потерпілий, інші особи, права чи законні інтереси яких обмежуються під час досудового розслідування, мають право оскаржити прокурору вищого рівня недотримання розумних строків слідчим, </w:t>
      </w:r>
      <w:proofErr w:type="spellStart"/>
      <w:r w:rsidRPr="006C7027">
        <w:rPr>
          <w:sz w:val="32"/>
          <w:szCs w:val="32"/>
        </w:rPr>
        <w:t>дізнавачем</w:t>
      </w:r>
      <w:proofErr w:type="spellEnd"/>
      <w:r w:rsidRPr="006C7027">
        <w:rPr>
          <w:sz w:val="32"/>
          <w:szCs w:val="32"/>
        </w:rPr>
        <w:t>, прокурором під час досудового розслідування.</w:t>
      </w:r>
    </w:p>
    <w:p w14:paraId="2A2913CE" w14:textId="77777777" w:rsidR="00E86A2A" w:rsidRPr="006C7027" w:rsidRDefault="00E86A2A" w:rsidP="00E86A2A">
      <w:pPr>
        <w:spacing w:after="120"/>
        <w:jc w:val="both"/>
        <w:rPr>
          <w:sz w:val="32"/>
          <w:szCs w:val="32"/>
        </w:rPr>
      </w:pPr>
      <w:r w:rsidRPr="006C7027">
        <w:rPr>
          <w:sz w:val="32"/>
          <w:szCs w:val="32"/>
        </w:rPr>
        <w:t>Відповідно до вимог статей 3, 25 Закону України «Про прокуратуру» нагляд за додержанням законів під час проведення досудового розслідування органами Національної поліції забезпечується з урахуванням принципу територіальності.</w:t>
      </w:r>
    </w:p>
    <w:p w14:paraId="04E99A95" w14:textId="77777777" w:rsidR="00E86A2A" w:rsidRPr="006C7027" w:rsidRDefault="00E86A2A" w:rsidP="00E86A2A">
      <w:pPr>
        <w:spacing w:after="120"/>
        <w:jc w:val="both"/>
        <w:rPr>
          <w:sz w:val="32"/>
          <w:szCs w:val="32"/>
        </w:rPr>
      </w:pPr>
      <w:r w:rsidRPr="006C7027">
        <w:rPr>
          <w:sz w:val="32"/>
          <w:szCs w:val="32"/>
        </w:rPr>
        <w:t>Згідно з вимогами частини 3 статті 17 Закону України «Про прокуратуру», під поняттям «прокурор вищого рівня» слід розуміти посадових осіб органів прокуратури, які є безпосередніми керівниками прокурора, який здійснює процесуальне керівництво у кримінальному провадженні. Для прокурорів, керівників та заступників керівників підрозділів окружної прокуратури прокурором вищого рівня є керівник окружної прокуратури чи його перший заступник або заступник. Керівник обласної прокуратури чи його перший заступник або заступник є прокурором вищого рівня лише для керівник</w:t>
      </w:r>
      <w:r>
        <w:rPr>
          <w:sz w:val="32"/>
          <w:szCs w:val="32"/>
        </w:rPr>
        <w:t>а</w:t>
      </w:r>
      <w:r w:rsidRPr="006C7027">
        <w:rPr>
          <w:sz w:val="32"/>
          <w:szCs w:val="32"/>
        </w:rPr>
        <w:t xml:space="preserve"> окружн</w:t>
      </w:r>
      <w:r>
        <w:rPr>
          <w:sz w:val="32"/>
          <w:szCs w:val="32"/>
        </w:rPr>
        <w:t>ої</w:t>
      </w:r>
      <w:r w:rsidRPr="006C7027">
        <w:rPr>
          <w:sz w:val="32"/>
          <w:szCs w:val="32"/>
        </w:rPr>
        <w:t xml:space="preserve"> прокуратури, його першого заступника, заступника,</w:t>
      </w:r>
      <w:r>
        <w:rPr>
          <w:sz w:val="32"/>
          <w:szCs w:val="32"/>
        </w:rPr>
        <w:t xml:space="preserve"> </w:t>
      </w:r>
      <w:r w:rsidRPr="006C7027">
        <w:rPr>
          <w:sz w:val="32"/>
          <w:szCs w:val="32"/>
        </w:rPr>
        <w:t>а також прокурорів, керівників та заступників керівників підрозділів обласної прокуратури.</w:t>
      </w:r>
    </w:p>
    <w:p w14:paraId="10DC0A51" w14:textId="77777777" w:rsidR="00E86A2A" w:rsidRPr="00B51AA2" w:rsidRDefault="00E86A2A" w:rsidP="00E86A2A">
      <w:pPr>
        <w:pStyle w:val="rvps2"/>
        <w:shd w:val="clear" w:color="auto" w:fill="FFFFFF"/>
        <w:spacing w:before="120" w:beforeAutospacing="0" w:after="120" w:afterAutospacing="0"/>
        <w:jc w:val="both"/>
        <w:rPr>
          <w:color w:val="333333"/>
          <w:sz w:val="32"/>
          <w:szCs w:val="32"/>
        </w:rPr>
      </w:pPr>
      <w:r w:rsidRPr="00B51AA2">
        <w:rPr>
          <w:rStyle w:val="rvts9"/>
          <w:b/>
          <w:bCs/>
          <w:color w:val="333333"/>
          <w:sz w:val="32"/>
          <w:szCs w:val="32"/>
        </w:rPr>
        <w:t>Статт</w:t>
      </w:r>
      <w:r>
        <w:rPr>
          <w:rStyle w:val="rvts9"/>
          <w:b/>
          <w:bCs/>
          <w:color w:val="333333"/>
          <w:sz w:val="32"/>
          <w:szCs w:val="32"/>
        </w:rPr>
        <w:t>ею</w:t>
      </w:r>
      <w:r w:rsidRPr="00B51AA2">
        <w:rPr>
          <w:rStyle w:val="rvts9"/>
          <w:b/>
          <w:bCs/>
          <w:color w:val="333333"/>
          <w:sz w:val="32"/>
          <w:szCs w:val="32"/>
        </w:rPr>
        <w:t xml:space="preserve"> 24</w:t>
      </w:r>
      <w:r>
        <w:rPr>
          <w:rStyle w:val="rvts9"/>
          <w:b/>
          <w:bCs/>
          <w:color w:val="333333"/>
          <w:sz w:val="32"/>
          <w:szCs w:val="32"/>
        </w:rPr>
        <w:t xml:space="preserve"> КПК України </w:t>
      </w:r>
      <w:r w:rsidRPr="00B51AA2">
        <w:rPr>
          <w:rStyle w:val="rvts9"/>
          <w:color w:val="333333"/>
          <w:sz w:val="32"/>
          <w:szCs w:val="32"/>
        </w:rPr>
        <w:t>к</w:t>
      </w:r>
      <w:r w:rsidRPr="00B51AA2">
        <w:rPr>
          <w:color w:val="333333"/>
          <w:sz w:val="32"/>
          <w:szCs w:val="32"/>
        </w:rPr>
        <w:t>ожному гарантується право на оскарження процесуальних рішень, дій чи бездіяльності суду, слідчого судді, прокурора, слідчого в порядку, передбаченому цим Кодексом.</w:t>
      </w:r>
    </w:p>
    <w:p w14:paraId="64848424" w14:textId="77777777" w:rsidR="00E86A2A" w:rsidRPr="0038481B" w:rsidRDefault="00E86A2A" w:rsidP="00E86A2A">
      <w:pPr>
        <w:spacing w:before="120" w:after="120"/>
        <w:jc w:val="both"/>
        <w:rPr>
          <w:b/>
          <w:bCs/>
          <w:sz w:val="32"/>
          <w:szCs w:val="32"/>
        </w:rPr>
      </w:pPr>
      <w:r>
        <w:rPr>
          <w:b/>
          <w:bCs/>
          <w:sz w:val="32"/>
          <w:szCs w:val="32"/>
        </w:rPr>
        <w:t xml:space="preserve">Відповідно до вимог </w:t>
      </w:r>
      <w:r w:rsidRPr="0038481B">
        <w:rPr>
          <w:b/>
          <w:bCs/>
          <w:sz w:val="32"/>
          <w:szCs w:val="32"/>
        </w:rPr>
        <w:t xml:space="preserve">статей </w:t>
      </w:r>
      <w:r w:rsidRPr="006C7027">
        <w:rPr>
          <w:b/>
          <w:bCs/>
          <w:sz w:val="32"/>
          <w:szCs w:val="32"/>
        </w:rPr>
        <w:t xml:space="preserve">303−307 КПК України </w:t>
      </w:r>
      <w:r w:rsidRPr="0038481B">
        <w:rPr>
          <w:b/>
          <w:bCs/>
          <w:color w:val="333333"/>
          <w:sz w:val="32"/>
          <w:szCs w:val="32"/>
          <w:shd w:val="clear" w:color="auto" w:fill="FFFFFF"/>
        </w:rPr>
        <w:t xml:space="preserve">рішення, дії чи бездіяльність слідчого, </w:t>
      </w:r>
      <w:proofErr w:type="spellStart"/>
      <w:r w:rsidRPr="0038481B">
        <w:rPr>
          <w:b/>
          <w:bCs/>
          <w:color w:val="333333"/>
          <w:sz w:val="32"/>
          <w:szCs w:val="32"/>
          <w:shd w:val="clear" w:color="auto" w:fill="FFFFFF"/>
        </w:rPr>
        <w:t>дізнавача</w:t>
      </w:r>
      <w:proofErr w:type="spellEnd"/>
      <w:r w:rsidRPr="0038481B">
        <w:rPr>
          <w:b/>
          <w:bCs/>
          <w:color w:val="333333"/>
          <w:sz w:val="32"/>
          <w:szCs w:val="32"/>
          <w:shd w:val="clear" w:color="auto" w:fill="FFFFFF"/>
        </w:rPr>
        <w:t xml:space="preserve"> або прокурора</w:t>
      </w:r>
      <w:r w:rsidRPr="0038481B">
        <w:rPr>
          <w:b/>
          <w:bCs/>
          <w:sz w:val="32"/>
          <w:szCs w:val="32"/>
        </w:rPr>
        <w:t xml:space="preserve"> </w:t>
      </w:r>
      <w:r w:rsidRPr="006C7027">
        <w:rPr>
          <w:b/>
          <w:bCs/>
          <w:sz w:val="32"/>
          <w:szCs w:val="32"/>
        </w:rPr>
        <w:t xml:space="preserve">під час досудового розслідування </w:t>
      </w:r>
      <w:r w:rsidRPr="0038481B">
        <w:rPr>
          <w:b/>
          <w:bCs/>
          <w:sz w:val="32"/>
          <w:szCs w:val="32"/>
        </w:rPr>
        <w:t xml:space="preserve">оскаржуються </w:t>
      </w:r>
      <w:r w:rsidRPr="006C7027">
        <w:rPr>
          <w:b/>
          <w:bCs/>
          <w:sz w:val="32"/>
          <w:szCs w:val="32"/>
        </w:rPr>
        <w:t>слідч</w:t>
      </w:r>
      <w:r w:rsidRPr="0038481B">
        <w:rPr>
          <w:b/>
          <w:bCs/>
          <w:sz w:val="32"/>
          <w:szCs w:val="32"/>
        </w:rPr>
        <w:t>ому</w:t>
      </w:r>
      <w:r w:rsidRPr="006C7027">
        <w:rPr>
          <w:b/>
          <w:bCs/>
          <w:sz w:val="32"/>
          <w:szCs w:val="32"/>
        </w:rPr>
        <w:t xml:space="preserve"> судд</w:t>
      </w:r>
      <w:r w:rsidRPr="0038481B">
        <w:rPr>
          <w:b/>
          <w:bCs/>
          <w:sz w:val="32"/>
          <w:szCs w:val="32"/>
        </w:rPr>
        <w:t>і</w:t>
      </w:r>
      <w:r w:rsidRPr="006C7027">
        <w:rPr>
          <w:b/>
          <w:bCs/>
          <w:sz w:val="32"/>
          <w:szCs w:val="32"/>
        </w:rPr>
        <w:t xml:space="preserve"> місцевого суду.</w:t>
      </w:r>
    </w:p>
    <w:bookmarkEnd w:id="0"/>
    <w:p w14:paraId="28DF3B74" w14:textId="77777777" w:rsidR="0085208D" w:rsidRDefault="0085208D"/>
    <w:sectPr w:rsidR="0085208D" w:rsidSect="00E86A2A">
      <w:pgSz w:w="11906" w:h="16838"/>
      <w:pgMar w:top="1134" w:right="567" w:bottom="1134" w:left="1701"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A2A"/>
    <w:rsid w:val="00191320"/>
    <w:rsid w:val="00325589"/>
    <w:rsid w:val="00635B79"/>
    <w:rsid w:val="00750BF2"/>
    <w:rsid w:val="00810563"/>
    <w:rsid w:val="0085208D"/>
    <w:rsid w:val="00A644E7"/>
    <w:rsid w:val="00E86A2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C256E"/>
  <w15:chartTrackingRefBased/>
  <w15:docId w15:val="{197F1CEF-6FC7-47A9-8894-FE772D5E3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uk-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6A2A"/>
    <w:rPr>
      <w:sz w:val="28"/>
      <w:szCs w:val="22"/>
    </w:rPr>
  </w:style>
  <w:style w:type="paragraph" w:styleId="1">
    <w:name w:val="heading 1"/>
    <w:basedOn w:val="a"/>
    <w:next w:val="a"/>
    <w:link w:val="10"/>
    <w:uiPriority w:val="9"/>
    <w:qFormat/>
    <w:rsid w:val="00750BF2"/>
    <w:pPr>
      <w:keepNext/>
      <w:spacing w:before="240" w:after="60"/>
      <w:outlineLvl w:val="0"/>
    </w:pPr>
    <w:rPr>
      <w:rFonts w:ascii="Calibri Light" w:eastAsia="Times New Roman" w:hAnsi="Calibri Light"/>
      <w:b/>
      <w:bCs/>
      <w:kern w:val="32"/>
      <w:sz w:val="32"/>
      <w:szCs w:val="32"/>
    </w:rPr>
  </w:style>
  <w:style w:type="paragraph" w:styleId="2">
    <w:name w:val="heading 2"/>
    <w:basedOn w:val="a"/>
    <w:next w:val="a"/>
    <w:link w:val="20"/>
    <w:uiPriority w:val="9"/>
    <w:semiHidden/>
    <w:unhideWhenUsed/>
    <w:qFormat/>
    <w:rsid w:val="00E86A2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86A2A"/>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86A2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86A2A"/>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86A2A"/>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86A2A"/>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86A2A"/>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86A2A"/>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50BF2"/>
    <w:rPr>
      <w:rFonts w:ascii="Calibri Light" w:eastAsia="Times New Roman" w:hAnsi="Calibri Light"/>
      <w:b/>
      <w:bCs/>
      <w:kern w:val="32"/>
      <w:sz w:val="32"/>
      <w:szCs w:val="32"/>
    </w:rPr>
  </w:style>
  <w:style w:type="paragraph" w:styleId="a3">
    <w:name w:val="caption"/>
    <w:basedOn w:val="a"/>
    <w:next w:val="a"/>
    <w:qFormat/>
    <w:rsid w:val="00750BF2"/>
    <w:pPr>
      <w:shd w:val="clear" w:color="auto" w:fill="FFFFFF"/>
      <w:jc w:val="center"/>
    </w:pPr>
    <w:rPr>
      <w:rFonts w:eastAsia="Times New Roman"/>
      <w:color w:val="000000"/>
      <w:spacing w:val="-12"/>
      <w:sz w:val="32"/>
      <w:szCs w:val="20"/>
      <w:lang w:eastAsia="ru-RU"/>
    </w:rPr>
  </w:style>
  <w:style w:type="character" w:styleId="a4">
    <w:name w:val="Strong"/>
    <w:uiPriority w:val="22"/>
    <w:qFormat/>
    <w:rsid w:val="00750BF2"/>
    <w:rPr>
      <w:b/>
      <w:bCs/>
    </w:rPr>
  </w:style>
  <w:style w:type="character" w:customStyle="1" w:styleId="20">
    <w:name w:val="Заголовок 2 Знак"/>
    <w:basedOn w:val="a0"/>
    <w:link w:val="2"/>
    <w:uiPriority w:val="9"/>
    <w:semiHidden/>
    <w:rsid w:val="00E86A2A"/>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86A2A"/>
    <w:rPr>
      <w:rFonts w:asciiTheme="minorHAnsi" w:eastAsiaTheme="majorEastAsia" w:hAnsiTheme="minorHAnsi" w:cstheme="majorBidi"/>
      <w:color w:val="2F5496" w:themeColor="accent1" w:themeShade="BF"/>
      <w:sz w:val="28"/>
      <w:szCs w:val="28"/>
    </w:rPr>
  </w:style>
  <w:style w:type="character" w:customStyle="1" w:styleId="40">
    <w:name w:val="Заголовок 4 Знак"/>
    <w:basedOn w:val="a0"/>
    <w:link w:val="4"/>
    <w:uiPriority w:val="9"/>
    <w:semiHidden/>
    <w:rsid w:val="00E86A2A"/>
    <w:rPr>
      <w:rFonts w:asciiTheme="minorHAnsi" w:eastAsiaTheme="majorEastAsia" w:hAnsiTheme="minorHAnsi" w:cstheme="majorBidi"/>
      <w:i/>
      <w:iCs/>
      <w:color w:val="2F5496" w:themeColor="accent1" w:themeShade="BF"/>
      <w:sz w:val="28"/>
      <w:szCs w:val="22"/>
    </w:rPr>
  </w:style>
  <w:style w:type="character" w:customStyle="1" w:styleId="50">
    <w:name w:val="Заголовок 5 Знак"/>
    <w:basedOn w:val="a0"/>
    <w:link w:val="5"/>
    <w:uiPriority w:val="9"/>
    <w:semiHidden/>
    <w:rsid w:val="00E86A2A"/>
    <w:rPr>
      <w:rFonts w:asciiTheme="minorHAnsi" w:eastAsiaTheme="majorEastAsia" w:hAnsiTheme="minorHAnsi" w:cstheme="majorBidi"/>
      <w:color w:val="2F5496" w:themeColor="accent1" w:themeShade="BF"/>
      <w:sz w:val="28"/>
      <w:szCs w:val="22"/>
    </w:rPr>
  </w:style>
  <w:style w:type="character" w:customStyle="1" w:styleId="60">
    <w:name w:val="Заголовок 6 Знак"/>
    <w:basedOn w:val="a0"/>
    <w:link w:val="6"/>
    <w:uiPriority w:val="9"/>
    <w:semiHidden/>
    <w:rsid w:val="00E86A2A"/>
    <w:rPr>
      <w:rFonts w:asciiTheme="minorHAnsi" w:eastAsiaTheme="majorEastAsia" w:hAnsiTheme="minorHAnsi" w:cstheme="majorBidi"/>
      <w:i/>
      <w:iCs/>
      <w:color w:val="595959" w:themeColor="text1" w:themeTint="A6"/>
      <w:sz w:val="28"/>
      <w:szCs w:val="22"/>
    </w:rPr>
  </w:style>
  <w:style w:type="character" w:customStyle="1" w:styleId="70">
    <w:name w:val="Заголовок 7 Знак"/>
    <w:basedOn w:val="a0"/>
    <w:link w:val="7"/>
    <w:uiPriority w:val="9"/>
    <w:semiHidden/>
    <w:rsid w:val="00E86A2A"/>
    <w:rPr>
      <w:rFonts w:asciiTheme="minorHAnsi" w:eastAsiaTheme="majorEastAsia" w:hAnsiTheme="minorHAnsi" w:cstheme="majorBidi"/>
      <w:color w:val="595959" w:themeColor="text1" w:themeTint="A6"/>
      <w:sz w:val="28"/>
      <w:szCs w:val="22"/>
    </w:rPr>
  </w:style>
  <w:style w:type="character" w:customStyle="1" w:styleId="80">
    <w:name w:val="Заголовок 8 Знак"/>
    <w:basedOn w:val="a0"/>
    <w:link w:val="8"/>
    <w:uiPriority w:val="9"/>
    <w:semiHidden/>
    <w:rsid w:val="00E86A2A"/>
    <w:rPr>
      <w:rFonts w:asciiTheme="minorHAnsi" w:eastAsiaTheme="majorEastAsia" w:hAnsiTheme="minorHAnsi" w:cstheme="majorBidi"/>
      <w:i/>
      <w:iCs/>
      <w:color w:val="272727" w:themeColor="text1" w:themeTint="D8"/>
      <w:sz w:val="28"/>
      <w:szCs w:val="22"/>
    </w:rPr>
  </w:style>
  <w:style w:type="character" w:customStyle="1" w:styleId="90">
    <w:name w:val="Заголовок 9 Знак"/>
    <w:basedOn w:val="a0"/>
    <w:link w:val="9"/>
    <w:uiPriority w:val="9"/>
    <w:semiHidden/>
    <w:rsid w:val="00E86A2A"/>
    <w:rPr>
      <w:rFonts w:asciiTheme="minorHAnsi" w:eastAsiaTheme="majorEastAsia" w:hAnsiTheme="minorHAnsi" w:cstheme="majorBidi"/>
      <w:color w:val="272727" w:themeColor="text1" w:themeTint="D8"/>
      <w:sz w:val="28"/>
      <w:szCs w:val="22"/>
    </w:rPr>
  </w:style>
  <w:style w:type="paragraph" w:styleId="a5">
    <w:name w:val="Title"/>
    <w:basedOn w:val="a"/>
    <w:next w:val="a"/>
    <w:link w:val="a6"/>
    <w:uiPriority w:val="10"/>
    <w:qFormat/>
    <w:rsid w:val="00E86A2A"/>
    <w:pPr>
      <w:spacing w:after="80"/>
      <w:contextualSpacing/>
    </w:pPr>
    <w:rPr>
      <w:rFonts w:asciiTheme="majorHAnsi" w:eastAsiaTheme="majorEastAsia" w:hAnsiTheme="majorHAnsi" w:cstheme="majorBidi"/>
      <w:spacing w:val="-10"/>
      <w:kern w:val="28"/>
      <w:sz w:val="56"/>
      <w:szCs w:val="56"/>
    </w:rPr>
  </w:style>
  <w:style w:type="character" w:customStyle="1" w:styleId="a6">
    <w:name w:val="Назва Знак"/>
    <w:basedOn w:val="a0"/>
    <w:link w:val="a5"/>
    <w:uiPriority w:val="10"/>
    <w:rsid w:val="00E86A2A"/>
    <w:rPr>
      <w:rFonts w:asciiTheme="majorHAnsi" w:eastAsiaTheme="majorEastAsia" w:hAnsiTheme="majorHAnsi" w:cstheme="majorBidi"/>
      <w:spacing w:val="-10"/>
      <w:kern w:val="28"/>
      <w:sz w:val="56"/>
      <w:szCs w:val="56"/>
    </w:rPr>
  </w:style>
  <w:style w:type="paragraph" w:styleId="a7">
    <w:name w:val="Subtitle"/>
    <w:basedOn w:val="a"/>
    <w:next w:val="a"/>
    <w:link w:val="a8"/>
    <w:uiPriority w:val="11"/>
    <w:qFormat/>
    <w:rsid w:val="00E86A2A"/>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a8">
    <w:name w:val="Підзаголовок Знак"/>
    <w:basedOn w:val="a0"/>
    <w:link w:val="a7"/>
    <w:uiPriority w:val="11"/>
    <w:rsid w:val="00E86A2A"/>
    <w:rPr>
      <w:rFonts w:asciiTheme="minorHAnsi" w:eastAsiaTheme="majorEastAsia" w:hAnsiTheme="minorHAnsi" w:cstheme="majorBidi"/>
      <w:color w:val="595959" w:themeColor="text1" w:themeTint="A6"/>
      <w:spacing w:val="15"/>
      <w:sz w:val="28"/>
      <w:szCs w:val="28"/>
    </w:rPr>
  </w:style>
  <w:style w:type="paragraph" w:styleId="a9">
    <w:name w:val="Quote"/>
    <w:basedOn w:val="a"/>
    <w:next w:val="a"/>
    <w:link w:val="aa"/>
    <w:uiPriority w:val="29"/>
    <w:qFormat/>
    <w:rsid w:val="00E86A2A"/>
    <w:pPr>
      <w:spacing w:before="160" w:after="160"/>
      <w:jc w:val="center"/>
    </w:pPr>
    <w:rPr>
      <w:i/>
      <w:iCs/>
      <w:color w:val="404040" w:themeColor="text1" w:themeTint="BF"/>
    </w:rPr>
  </w:style>
  <w:style w:type="character" w:customStyle="1" w:styleId="aa">
    <w:name w:val="Цитата Знак"/>
    <w:basedOn w:val="a0"/>
    <w:link w:val="a9"/>
    <w:uiPriority w:val="29"/>
    <w:rsid w:val="00E86A2A"/>
    <w:rPr>
      <w:i/>
      <w:iCs/>
      <w:color w:val="404040" w:themeColor="text1" w:themeTint="BF"/>
      <w:sz w:val="28"/>
      <w:szCs w:val="22"/>
    </w:rPr>
  </w:style>
  <w:style w:type="paragraph" w:styleId="ab">
    <w:name w:val="List Paragraph"/>
    <w:basedOn w:val="a"/>
    <w:uiPriority w:val="34"/>
    <w:qFormat/>
    <w:rsid w:val="00E86A2A"/>
    <w:pPr>
      <w:ind w:left="720"/>
      <w:contextualSpacing/>
    </w:pPr>
  </w:style>
  <w:style w:type="character" w:styleId="ac">
    <w:name w:val="Intense Emphasis"/>
    <w:basedOn w:val="a0"/>
    <w:uiPriority w:val="21"/>
    <w:qFormat/>
    <w:rsid w:val="00E86A2A"/>
    <w:rPr>
      <w:i/>
      <w:iCs/>
      <w:color w:val="2F5496" w:themeColor="accent1" w:themeShade="BF"/>
    </w:rPr>
  </w:style>
  <w:style w:type="paragraph" w:styleId="ad">
    <w:name w:val="Intense Quote"/>
    <w:basedOn w:val="a"/>
    <w:next w:val="a"/>
    <w:link w:val="ae"/>
    <w:uiPriority w:val="30"/>
    <w:qFormat/>
    <w:rsid w:val="00E86A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e">
    <w:name w:val="Насичена цитата Знак"/>
    <w:basedOn w:val="a0"/>
    <w:link w:val="ad"/>
    <w:uiPriority w:val="30"/>
    <w:rsid w:val="00E86A2A"/>
    <w:rPr>
      <w:i/>
      <w:iCs/>
      <w:color w:val="2F5496" w:themeColor="accent1" w:themeShade="BF"/>
      <w:sz w:val="28"/>
      <w:szCs w:val="22"/>
    </w:rPr>
  </w:style>
  <w:style w:type="character" w:styleId="af">
    <w:name w:val="Intense Reference"/>
    <w:basedOn w:val="a0"/>
    <w:uiPriority w:val="32"/>
    <w:qFormat/>
    <w:rsid w:val="00E86A2A"/>
    <w:rPr>
      <w:b/>
      <w:bCs/>
      <w:smallCaps/>
      <w:color w:val="2F5496" w:themeColor="accent1" w:themeShade="BF"/>
      <w:spacing w:val="5"/>
    </w:rPr>
  </w:style>
  <w:style w:type="paragraph" w:customStyle="1" w:styleId="rvps2">
    <w:name w:val="rvps2"/>
    <w:basedOn w:val="a"/>
    <w:rsid w:val="00E86A2A"/>
    <w:pPr>
      <w:spacing w:before="100" w:beforeAutospacing="1" w:after="100" w:afterAutospacing="1"/>
    </w:pPr>
    <w:rPr>
      <w:rFonts w:eastAsia="Times New Roman"/>
      <w:sz w:val="24"/>
      <w:szCs w:val="24"/>
      <w:lang w:eastAsia="uk-UA"/>
    </w:rPr>
  </w:style>
  <w:style w:type="character" w:customStyle="1" w:styleId="rvts9">
    <w:name w:val="rvts9"/>
    <w:basedOn w:val="a0"/>
    <w:rsid w:val="00E86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2443</Words>
  <Characters>1393</Characters>
  <Application>Microsoft Office Word</Application>
  <DocSecurity>0</DocSecurity>
  <Lines>11</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2025-06-10T12:21:00Z</dcterms:created>
  <dcterms:modified xsi:type="dcterms:W3CDTF">2025-06-11T08:59:00Z</dcterms:modified>
</cp:coreProperties>
</file>